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4C" w:rsidRDefault="003C2F68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Доклад</w:t>
      </w:r>
    </w:p>
    <w:p w:rsidR="00340B40" w:rsidRDefault="003C2F6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6"/>
          <w:szCs w:val="26"/>
        </w:rPr>
        <w:t>Итоги контрольной (надзорной) деятельности по осуществлению государственного надзора в области промышленной безопасности на объектах Республики Мордовия за 3 месяца 2024 года»</w:t>
      </w:r>
    </w:p>
    <w:p w:rsidR="00340B40" w:rsidRDefault="00340B40" w:rsidP="004F228B">
      <w:pPr>
        <w:spacing w:line="276" w:lineRule="auto"/>
        <w:jc w:val="both"/>
        <w:rPr>
          <w:sz w:val="28"/>
          <w:szCs w:val="28"/>
        </w:rPr>
      </w:pPr>
    </w:p>
    <w:p w:rsidR="00340B40" w:rsidRDefault="003C2F68" w:rsidP="004F2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Волжско-Окское управление Ростехнадзора осуществляет на территории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Республики Мордовия</w:t>
      </w:r>
      <w:r>
        <w:rPr>
          <w:rFonts w:eastAsia="Calibri"/>
          <w:sz w:val="28"/>
          <w:szCs w:val="28"/>
          <w:lang w:eastAsia="en-US"/>
        </w:rPr>
        <w:t xml:space="preserve"> федеральный государственный надзор</w:t>
      </w:r>
      <w:r>
        <w:rPr>
          <w:rFonts w:eastAsia="Calibri"/>
          <w:sz w:val="28"/>
          <w:szCs w:val="28"/>
          <w:lang w:eastAsia="en-US"/>
        </w:rPr>
        <w:br/>
        <w:t>в области промышленной безопасности в отношении 418 организаций, эксплуатирующих в совокупности 1087 опасных производственных объектов (далее – ОПО), в том числе: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I класс опасности 1 ОПО (Общество с ограниченной ответственностью «Газпром трансгаз Нижний Новгород»);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II класс опасности – 54 ОПО;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III класс опасности – 527 ОПО;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IV класс опасности – 505 ОПО.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К основным типам ОПО II класса опасности относятся объекты магистральных газопроводов, станции газораспределительные, объекты металлургии, станция газонаполнительная, карьеры, площадки хранения мазута.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К основным типам ОПО III класса опасности относятся сети газопотребления предприятий, АГЗС, взрывопожароопасные объекты хранения и переработки растительного сырья, системы теплоснабжения.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К основным типам ОПО IV класса опасности относятся объекты,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>где ис</w:t>
      </w:r>
      <w:r w:rsidR="004F228B">
        <w:rPr>
          <w:sz w:val="28"/>
          <w:szCs w:val="28"/>
        </w:rPr>
        <w:t>пользуются подъемные сооружения</w:t>
      </w:r>
      <w:r>
        <w:rPr>
          <w:sz w:val="28"/>
          <w:szCs w:val="28"/>
        </w:rPr>
        <w:t xml:space="preserve"> и оборудование, работающее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>под избыточным давлением.</w:t>
      </w:r>
    </w:p>
    <w:p w:rsidR="00340B40" w:rsidRDefault="003C2F68">
      <w:pPr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Аварий и случаев смертельного травматизма на поднадзорных объектах, расположенных на территории Республики Мордовия, в 2023 и за 3 месяца 2024 года не зарегистрировано.</w:t>
      </w:r>
    </w:p>
    <w:p w:rsidR="00340B40" w:rsidRDefault="003C2F68">
      <w:pPr>
        <w:spacing w:after="120" w:line="360" w:lineRule="auto"/>
        <w:jc w:val="center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Контрольная (надзорная) и профилактическая деятельность</w:t>
      </w:r>
    </w:p>
    <w:tbl>
      <w:tblPr>
        <w:tblW w:w="10150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678"/>
        <w:gridCol w:w="3890"/>
        <w:gridCol w:w="1495"/>
        <w:gridCol w:w="1312"/>
        <w:gridCol w:w="1413"/>
        <w:gridCol w:w="1362"/>
      </w:tblGrid>
      <w:tr w:rsidR="00340B40" w:rsidTr="004F228B">
        <w:trPr>
          <w:trHeight w:val="738"/>
        </w:trPr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 w:rsidR="00340B40" w:rsidRDefault="003C2F68" w:rsidP="004F228B">
            <w:pPr>
              <w:spacing w:after="200"/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 w:rsidR="00340B40" w:rsidRDefault="003C2F68" w:rsidP="004F228B">
            <w:pPr>
              <w:spacing w:after="200"/>
            </w:pPr>
            <w:r>
              <w:rPr>
                <w:rFonts w:eastAsia="Calibri"/>
                <w:b/>
                <w:lang w:eastAsia="en-US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spacing w:after="200"/>
            </w:pPr>
            <w:r>
              <w:rPr>
                <w:rFonts w:eastAsia="Calibri"/>
                <w:b/>
                <w:lang w:eastAsia="en-US"/>
              </w:rPr>
              <w:t>2022 г.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spacing w:after="200"/>
              <w:ind w:right="87"/>
            </w:pPr>
            <w:r>
              <w:rPr>
                <w:rFonts w:eastAsia="Calibri"/>
                <w:b/>
                <w:lang w:eastAsia="en-US"/>
              </w:rPr>
              <w:t>2023 г.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spacing w:after="200"/>
              <w:ind w:right="87"/>
            </w:pPr>
            <w:r>
              <w:rPr>
                <w:rFonts w:eastAsia="Calibri"/>
                <w:b/>
                <w:lang w:eastAsia="en-US"/>
              </w:rPr>
              <w:t>3 мес. 2023 г.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spacing w:after="200"/>
              <w:ind w:right="87"/>
            </w:pPr>
            <w:r>
              <w:rPr>
                <w:rFonts w:eastAsia="Calibri"/>
                <w:b/>
                <w:lang w:eastAsia="en-US"/>
              </w:rPr>
              <w:t>3 мес. 2024 г.</w:t>
            </w:r>
          </w:p>
        </w:tc>
      </w:tr>
      <w:tr w:rsidR="00340B40" w:rsidTr="004F228B">
        <w:trPr>
          <w:trHeight w:val="653"/>
        </w:trPr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r>
              <w:rPr>
                <w:rFonts w:eastAsia="Calibri"/>
                <w:lang w:eastAsia="en-US"/>
              </w:rPr>
              <w:t xml:space="preserve">Общее количество контрольных (надзорных) мероприятий и контрольных действий, всего, </w:t>
            </w:r>
            <w:r w:rsidR="004F228B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464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ind w:firstLine="317"/>
            </w:pPr>
            <w:r>
              <w:rPr>
                <w:rFonts w:eastAsia="Calibri"/>
                <w:lang w:eastAsia="en-US"/>
              </w:rPr>
              <w:t>плановые проверки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ind w:firstLine="317"/>
            </w:pPr>
            <w:r>
              <w:rPr>
                <w:rFonts w:eastAsia="Calibri"/>
                <w:lang w:eastAsia="en-US"/>
              </w:rPr>
              <w:t>внеплановые проверки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447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spacing w:after="200"/>
            </w:pPr>
            <w:r>
              <w:rPr>
                <w:rFonts w:eastAsia="Calibri"/>
                <w:lang w:eastAsia="en-US"/>
              </w:rPr>
              <w:t>Количество контрольных действий, проведенных в рамках постоянного государственного надзора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r>
              <w:rPr>
                <w:rFonts w:eastAsia="Calibri"/>
                <w:lang w:eastAsia="en-US"/>
              </w:rPr>
              <w:t>Выявлено правонарушений, всего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384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55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r>
              <w:rPr>
                <w:rFonts w:eastAsia="Calibri"/>
                <w:lang w:eastAsia="en-US"/>
              </w:rPr>
              <w:t>Общее количество административных наказаний, из них: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29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ind w:left="317"/>
            </w:pPr>
            <w:r>
              <w:rPr>
                <w:rFonts w:eastAsia="Calibri"/>
                <w:lang w:eastAsia="en-US"/>
              </w:rPr>
              <w:t>административное приостановление деятельности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ind w:firstLine="317"/>
            </w:pPr>
            <w:r>
              <w:rPr>
                <w:rFonts w:eastAsia="Calibri"/>
                <w:lang w:eastAsia="en-US"/>
              </w:rPr>
              <w:t>предупреждение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ind w:firstLine="317"/>
            </w:pPr>
            <w:r>
              <w:rPr>
                <w:rFonts w:eastAsia="Calibri"/>
                <w:lang w:eastAsia="en-US"/>
              </w:rPr>
              <w:t>административный штраф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r>
              <w:rPr>
                <w:rFonts w:eastAsia="Calibri"/>
                <w:lang w:eastAsia="en-US"/>
              </w:rPr>
              <w:t xml:space="preserve">Общая сумма наложенных административных штрафов </w:t>
            </w:r>
            <w:r w:rsidR="004F228B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(тыс. руб.)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4577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2465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541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746</w:t>
            </w:r>
          </w:p>
        </w:tc>
      </w:tr>
      <w:tr w:rsidR="00340B40" w:rsidTr="004F228B">
        <w:tc>
          <w:tcPr>
            <w:tcW w:w="67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 w:rsidP="004F228B">
            <w:r>
              <w:rPr>
                <w:rFonts w:eastAsia="Calibri"/>
                <w:lang w:eastAsia="en-US"/>
              </w:rPr>
              <w:t>Количество профилактических визитов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jc w:val="center"/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340B40" w:rsidRDefault="003C2F68" w:rsidP="004F228B">
            <w:pPr>
              <w:ind w:right="288"/>
              <w:jc w:val="center"/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340B40" w:rsidRDefault="003C2F68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</w:tr>
    </w:tbl>
    <w:p w:rsidR="00340B40" w:rsidRDefault="00340B40">
      <w:pPr>
        <w:spacing w:line="360" w:lineRule="auto"/>
        <w:ind w:firstLine="709"/>
        <w:jc w:val="both"/>
        <w:rPr>
          <w:rFonts w:eastAsia="Calibri"/>
          <w:color w:val="C9211E"/>
          <w:sz w:val="28"/>
          <w:szCs w:val="28"/>
          <w:lang w:eastAsia="en-US"/>
        </w:rPr>
      </w:pP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10 марта 2022 года для снижения административной нагрузки на бизнес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 xml:space="preserve">и в условиях санкций, </w:t>
      </w:r>
      <w:r w:rsidR="004F228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Российской Федерации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 xml:space="preserve">№336 «Об особенностях организации и осуществления государственного контроля, муниципального контроля» были внесены </w:t>
      </w:r>
      <w:r>
        <w:rPr>
          <w:b/>
          <w:sz w:val="28"/>
          <w:szCs w:val="28"/>
        </w:rPr>
        <w:t xml:space="preserve">существенные ограничения </w:t>
      </w:r>
      <w:r w:rsidR="004F228B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 проведению контрольно-надзорных мероприятий</w:t>
      </w:r>
      <w:r>
        <w:rPr>
          <w:sz w:val="28"/>
          <w:szCs w:val="28"/>
        </w:rPr>
        <w:t xml:space="preserve">.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Допускается проведение </w:t>
      </w:r>
      <w:r>
        <w:rPr>
          <w:b/>
          <w:sz w:val="28"/>
          <w:szCs w:val="28"/>
        </w:rPr>
        <w:t xml:space="preserve">запланированных </w:t>
      </w:r>
      <w:r>
        <w:rPr>
          <w:sz w:val="28"/>
          <w:szCs w:val="28"/>
        </w:rPr>
        <w:t xml:space="preserve">контрольных мероприятий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опасных производственных объектов, </w:t>
      </w:r>
      <w:r>
        <w:rPr>
          <w:b/>
          <w:sz w:val="28"/>
          <w:szCs w:val="28"/>
        </w:rPr>
        <w:t xml:space="preserve">отнесенных к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и II классам опасности</w:t>
      </w:r>
      <w:r>
        <w:rPr>
          <w:sz w:val="28"/>
          <w:szCs w:val="28"/>
        </w:rPr>
        <w:t>.</w:t>
      </w:r>
    </w:p>
    <w:p w:rsidR="00340B40" w:rsidRDefault="003C2F6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текущую дату территориальным отделом в рамках плановых контрольно-надзорных мероприятий по соблюдению требований промышленной безопасности было проведено 4 плановые проверки объектов II класса опасности: «Площадка хранения мазутного топлива Саранской ТЭ</w:t>
      </w:r>
      <w:r w:rsidR="004F228B">
        <w:rPr>
          <w:rFonts w:eastAsia="Calibri"/>
          <w:sz w:val="28"/>
          <w:szCs w:val="28"/>
          <w:lang w:eastAsia="en-US"/>
        </w:rPr>
        <w:t>Ц-2» ПАО «Т Плюс» и</w:t>
      </w:r>
      <w:r>
        <w:rPr>
          <w:rFonts w:eastAsia="Calibri"/>
          <w:sz w:val="28"/>
          <w:szCs w:val="28"/>
          <w:lang w:eastAsia="en-US"/>
        </w:rPr>
        <w:t xml:space="preserve"> 3 ОПО </w:t>
      </w:r>
      <w:r w:rsidR="004F228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«Сеть газоснабжения» АО «Газпром газораспределение Саранск».</w:t>
      </w:r>
    </w:p>
    <w:p w:rsidR="00340B40" w:rsidRDefault="003C2F68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Внеплановые</w:t>
      </w:r>
      <w:r>
        <w:rPr>
          <w:bCs/>
          <w:sz w:val="28"/>
          <w:szCs w:val="28"/>
        </w:rPr>
        <w:t xml:space="preserve"> проверки проводятся </w:t>
      </w:r>
      <w:r>
        <w:rPr>
          <w:b/>
          <w:sz w:val="28"/>
          <w:szCs w:val="28"/>
        </w:rPr>
        <w:t>исключительно по основаниям</w:t>
      </w:r>
      <w:r>
        <w:rPr>
          <w:sz w:val="28"/>
          <w:szCs w:val="28"/>
        </w:rPr>
        <w:t xml:space="preserve"> предусмотренным постановлением.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>При этом они делятся на 2 категории</w:t>
      </w:r>
      <w:r>
        <w:rPr>
          <w:sz w:val="28"/>
          <w:szCs w:val="28"/>
        </w:rPr>
        <w:t>:</w:t>
      </w:r>
    </w:p>
    <w:p w:rsidR="00340B40" w:rsidRDefault="003C2F68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1. без согласования с органами прокуратуры: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по поручению Президента Российской Федерации;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- по поручению Председателя Правительства Российской Федерации, Заместителя Председателя Правительства Российской Федерации;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40B40" w:rsidRDefault="003C2F68">
      <w:pPr>
        <w:spacing w:line="360" w:lineRule="auto"/>
        <w:ind w:firstLine="851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 условии согласования с органами прокуратуры</w:t>
      </w:r>
      <w:r>
        <w:rPr>
          <w:sz w:val="28"/>
          <w:szCs w:val="28"/>
        </w:rPr>
        <w:t>: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при непосредственной угрозе</w:t>
      </w:r>
      <w:r>
        <w:rPr>
          <w:sz w:val="28"/>
          <w:szCs w:val="28"/>
        </w:rPr>
        <w:t xml:space="preserve"> причинения вреда жизни и тяжкого вреда здоровью граждан, по фактам причинения вреда жизни и тяжкого вреда здоровью граждан;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при непосредственной угрозе обороне страны и безопасности государства,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>по фактам причинения вреда обороне страны и безопасности государства;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при выявлении </w:t>
      </w:r>
      <w:r>
        <w:rPr>
          <w:b/>
          <w:bCs/>
          <w:sz w:val="28"/>
          <w:szCs w:val="28"/>
        </w:rPr>
        <w:t>индикаторов риска</w:t>
      </w:r>
      <w:r>
        <w:rPr>
          <w:sz w:val="28"/>
          <w:szCs w:val="28"/>
        </w:rPr>
        <w:t xml:space="preserve"> нарушения обязательных требований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опасных производственных объектов.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Для проведения анализа и обеспечения выявления Индикаторов риска  производится сбор и анализ информации, поступающей при реализации полномочий по осуществлению государственного контроля, предоставлению государственных услуг, и сопоставление имеющейся информации со сведениями, имеющимися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>в государственных реестрах, информационных системах и иных официальных источниках данных.</w:t>
      </w:r>
    </w:p>
    <w:p w:rsidR="00340B40" w:rsidRDefault="003C2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3 месяца 2024 года п</w:t>
      </w:r>
      <w:r>
        <w:rPr>
          <w:rFonts w:eastAsia="Calibri"/>
          <w:sz w:val="28"/>
          <w:szCs w:val="28"/>
          <w:lang w:eastAsia="en-US"/>
        </w:rPr>
        <w:t>роведено 5 внеплановых проверок организаций эксплуатирующих ОПО, из них 1 проверка — выявление соответствия объекта контроля параметрам, утверждённым индикаторами риска нарушения обязательных требований (ПБ-3 отсутствие лицензии), 3 — истечение срока исполнения решения об устранении выявленного нарушения обязательных требований, 1 - требование прокурора о проведении контрольного (надзорного) мероприятия). По результатам проверок выявлено 55 нарушений обязательных требований.</w:t>
      </w:r>
    </w:p>
    <w:p w:rsidR="00340B40" w:rsidRDefault="003C2F68">
      <w:pPr>
        <w:spacing w:line="360" w:lineRule="auto"/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Общее количество административных наказаний составило — 29, из них 13 — предупреждение, 16 - а</w:t>
      </w:r>
      <w:r>
        <w:rPr>
          <w:color w:val="000000"/>
          <w:sz w:val="28"/>
          <w:szCs w:val="28"/>
        </w:rPr>
        <w:t>дминистративный штраф</w:t>
      </w:r>
      <w:r>
        <w:rPr>
          <w:rFonts w:eastAsia="Calibri"/>
          <w:color w:val="000000"/>
          <w:sz w:val="28"/>
          <w:szCs w:val="28"/>
          <w:lang w:eastAsia="en-US"/>
        </w:rPr>
        <w:t xml:space="preserve">. Общая сумма наложенного штрафа - 746 тыс. руб. </w:t>
      </w:r>
    </w:p>
    <w:p w:rsidR="00340B40" w:rsidRDefault="003C2F68">
      <w:pPr>
        <w:spacing w:line="360" w:lineRule="auto"/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На текущую дату также проведены</w:t>
      </w:r>
      <w:r w:rsidR="004F228B">
        <w:rPr>
          <w:rFonts w:eastAsia="Calibri"/>
          <w:color w:val="000000"/>
          <w:sz w:val="28"/>
          <w:szCs w:val="28"/>
          <w:lang w:eastAsia="en-US"/>
        </w:rPr>
        <w:t>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F228B">
        <w:rPr>
          <w:rFonts w:eastAsia="Calibri"/>
          <w:color w:val="000000"/>
          <w:sz w:val="28"/>
          <w:szCs w:val="28"/>
          <w:lang w:eastAsia="en-US"/>
        </w:rPr>
        <w:t xml:space="preserve">1 проверка по индикатору риска </w:t>
      </w:r>
      <w:r>
        <w:rPr>
          <w:rFonts w:eastAsia="Calibri"/>
          <w:color w:val="000000"/>
          <w:sz w:val="28"/>
          <w:szCs w:val="28"/>
          <w:lang w:eastAsia="en-US"/>
        </w:rPr>
        <w:t>ПБ</w:t>
      </w:r>
      <w:r w:rsidR="004F228B">
        <w:rPr>
          <w:rFonts w:eastAsia="Calibri"/>
          <w:color w:val="000000"/>
          <w:sz w:val="28"/>
          <w:szCs w:val="28"/>
          <w:lang w:eastAsia="en-US"/>
        </w:rPr>
        <w:t>;</w:t>
      </w:r>
      <w:r w:rsidR="004F228B"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3 </w:t>
      </w:r>
      <w:r w:rsidR="004F228B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lang w:eastAsia="en-US"/>
        </w:rPr>
        <w:t>отсутствие лицензии и 1 - истечение срока исполнения решения об устранении выявленного нар</w:t>
      </w:r>
      <w:r w:rsidR="004F228B">
        <w:rPr>
          <w:rFonts w:eastAsia="Calibri"/>
          <w:color w:val="000000"/>
          <w:sz w:val="28"/>
          <w:szCs w:val="28"/>
          <w:lang w:eastAsia="en-US"/>
        </w:rPr>
        <w:t>ушения обязательных требований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40B40" w:rsidRDefault="003C2F6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Профилактика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Принимая во внимание необходимость устойчивого функционирования предприятий, осуществляющих деятельность в области промышленной  безопасности, с учетом ограничений, установленных Постановлением Правительства Р</w:t>
      </w:r>
      <w:r w:rsidR="004F228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F228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10 марта 2022 года № 336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контроля», Службой сделан акцент на проведение мероприятий по профилактике нарушений обязательных требований.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Статьёй 45 Федерального закона №248-ФЗ «О государственном контроле (надзоре) и муниципальном контроле в Российской Федерации» предусмотрено </w:t>
      </w:r>
      <w:r w:rsidR="004F228B">
        <w:rPr>
          <w:sz w:val="28"/>
          <w:szCs w:val="28"/>
        </w:rPr>
        <w:br/>
      </w:r>
      <w:r>
        <w:rPr>
          <w:sz w:val="28"/>
          <w:szCs w:val="28"/>
        </w:rPr>
        <w:t xml:space="preserve">7 видов профилактических мероприятий, которые могут проводить контрольные органы.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Это: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информирование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обобщение правоприменительной практики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меры стимулирования добросовестности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объявление предостережения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консультирование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самообследование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профилактический визит.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Вместе с тем, проведение профилактических мероприятий Ростехнадзором ограничено положениями о соответствующем виде контроля.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Приказами Ростехнадзора отдельно по каждому виду надзора утверждены Программы профилактики рисков причинения вреда охраняемым законом ценностях. И в соответствии с данными программами Управление утвердило графики проведения профилактических мероприятий на текущий год.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В течении 2024 года, в соответствии с утвержденными графиками проведены следующие профилактические мероприятия:</w:t>
      </w:r>
    </w:p>
    <w:p w:rsidR="009F791A" w:rsidRDefault="009F79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0B40" w:rsidRDefault="003C2F68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lastRenderedPageBreak/>
        <w:t>Информирование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по вопросам соблюдения обязательных требований на сайте Управления размещены тексты нормативных правовых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таких обязательных требований; проверочные листы, применяемые при плановых проверках; перечень индикаторов риска нарушения обязательных требований; план проверок; программа профилактики рисков причинения вреда 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t>и другая важная информация.</w:t>
      </w:r>
    </w:p>
    <w:p w:rsidR="00340B40" w:rsidRDefault="003C2F6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Кроме того, в адрес </w:t>
      </w:r>
      <w:r>
        <w:rPr>
          <w:b/>
          <w:bCs/>
          <w:color w:val="000000"/>
          <w:sz w:val="28"/>
          <w:szCs w:val="28"/>
        </w:rPr>
        <w:t>314</w:t>
      </w:r>
      <w:r>
        <w:rPr>
          <w:color w:val="000000"/>
          <w:sz w:val="28"/>
          <w:szCs w:val="28"/>
        </w:rPr>
        <w:t xml:space="preserve"> предприятий и организаций направлены информационные письма разной тематики. </w:t>
      </w:r>
    </w:p>
    <w:p w:rsidR="00340B40" w:rsidRPr="009F791A" w:rsidRDefault="003C2F68" w:rsidP="009F79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проводилось об анализе причин аварийных ситуаций 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9F791A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="009F791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по усилению внимания за противопаводковой 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противопожарными ситуациями, антитеррористической защищенности 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t>на эксплуатируемых ОПО.</w:t>
      </w:r>
    </w:p>
    <w:p w:rsidR="00340B40" w:rsidRDefault="003C2F68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Консультирование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Ещё одном профилактическим мероприятием для разъяснения требований нормативных актов является консультирование.</w:t>
      </w:r>
    </w:p>
    <w:p w:rsidR="00340B40" w:rsidRDefault="003C2F6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течении 2024 года сотрудниками проведена</w:t>
      </w:r>
      <w:r>
        <w:rPr>
          <w:b/>
          <w:bCs/>
          <w:color w:val="000000"/>
          <w:sz w:val="28"/>
          <w:szCs w:val="28"/>
        </w:rPr>
        <w:t xml:space="preserve"> 61 консультация</w:t>
      </w:r>
      <w:r>
        <w:rPr>
          <w:color w:val="000000"/>
          <w:sz w:val="28"/>
          <w:szCs w:val="28"/>
        </w:rPr>
        <w:t xml:space="preserve"> представителей предприятий и организаций по вопросам промышленной  безопасности.</w:t>
      </w:r>
    </w:p>
    <w:p w:rsidR="00340B40" w:rsidRDefault="003C2F6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Наиболее часто вст</w:t>
      </w:r>
      <w:r>
        <w:rPr>
          <w:sz w:val="28"/>
          <w:szCs w:val="28"/>
        </w:rPr>
        <w:t>речающиеся вопросы, требующие разъяснения требований нормативных актов такие как: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порядок ввода в эксплуатацию и постановки на учет </w:t>
      </w:r>
      <w:r w:rsidR="009F791A">
        <w:rPr>
          <w:sz w:val="28"/>
          <w:szCs w:val="28"/>
        </w:rPr>
        <w:t>оборудования, работающего под избыточным давлением</w:t>
      </w:r>
      <w:r>
        <w:rPr>
          <w:sz w:val="28"/>
          <w:szCs w:val="28"/>
        </w:rPr>
        <w:t>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приемка в эксплуатацию законченного строительством объекта;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порядок пуска в работу подъемных сооружений;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порядок допуска к работе и проверка знаний обслуживающего персонала. </w:t>
      </w:r>
    </w:p>
    <w:p w:rsidR="00340B40" w:rsidRDefault="003C2F68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Предостережения</w:t>
      </w:r>
    </w:p>
    <w:p w:rsidR="00340B40" w:rsidRDefault="009F791A">
      <w:pPr>
        <w:spacing w:line="360" w:lineRule="auto"/>
        <w:ind w:firstLine="709"/>
        <w:jc w:val="both"/>
      </w:pPr>
      <w:r>
        <w:rPr>
          <w:sz w:val="28"/>
          <w:szCs w:val="28"/>
        </w:rPr>
        <w:t>Еще одним</w:t>
      </w:r>
      <w:r w:rsidR="003C2F68">
        <w:rPr>
          <w:sz w:val="28"/>
          <w:szCs w:val="28"/>
        </w:rPr>
        <w:t xml:space="preserve"> профилактическим мероприятием является предостережение.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Предостережение выносится в случае наличия у контрольного органа сведений о готовящихся нарушениях или признаках таких нарушений и в случае отсутствия угрозы причинения вреда охраняемым законом ценностям.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Предостережение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или бездействие контролируемого лица могут привести или приводят к нарушению обязательных требований.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Контролируемое лицо вправе подать в надзорный орган возражения 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предостережения. 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Объявленные предостережения в обязательном порядке отражаются на сайте Генпрокуратуры в Едином реестре контрольно-надзорных мероприятий.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2024 году объявлено </w:t>
      </w:r>
      <w:r>
        <w:rPr>
          <w:b/>
          <w:bCs/>
          <w:color w:val="000000"/>
          <w:sz w:val="28"/>
          <w:szCs w:val="28"/>
        </w:rPr>
        <w:t xml:space="preserve">42 </w:t>
      </w:r>
      <w:r>
        <w:rPr>
          <w:b/>
          <w:bCs/>
          <w:sz w:val="28"/>
          <w:szCs w:val="28"/>
        </w:rPr>
        <w:t>предостережения</w:t>
      </w:r>
      <w:r>
        <w:rPr>
          <w:sz w:val="28"/>
          <w:szCs w:val="28"/>
        </w:rPr>
        <w:t xml:space="preserve"> о недопустимости нарушения обязательных требований.</w:t>
      </w:r>
    </w:p>
    <w:p w:rsidR="00340B40" w:rsidRDefault="003C2F6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Основаниями для объявления предостережений явились: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при проведении анализа сведений об осуществлении производственного контроля на предприятии и общего реестра аттестуемых лиц, осуществляющих профессиональную деятельность, связанную с эксплуатацией опасных производственных объектов, выявляется отсутствие сведений об аттестации 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t>в области промышленной безопасности;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- отсутствие лицензии юридического лица (индивидуального предпринимателя) на эксплуатацию взрывопожароопасных и химически опасных производственных объектов I, II и III классов опасности;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наличие объекта, имеющего признаки опасного производственного объекта 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t>и не зарегистрированного в государственном реестре.</w:t>
      </w:r>
    </w:p>
    <w:p w:rsidR="00340B40" w:rsidRDefault="003C2F68">
      <w:pPr>
        <w:spacing w:line="360" w:lineRule="auto"/>
        <w:ind w:firstLine="709"/>
        <w:jc w:val="both"/>
      </w:pPr>
      <w:r>
        <w:t xml:space="preserve"> </w:t>
      </w:r>
      <w:r>
        <w:rPr>
          <w:b/>
          <w:bCs/>
          <w:sz w:val="28"/>
          <w:szCs w:val="28"/>
        </w:rPr>
        <w:t>Профилактический визит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>В течение 2024 года по поручению Заместителя Председателя Правительства Российской Федерации Новака Александра Валентиновича от 19 января 2024 года</w:t>
      </w:r>
      <w:r w:rsidR="009F791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22 специальных профилактических визита в отношении контролируемых лиц, эксплуатирующих автомобильные газозаправочные станций.</w:t>
      </w:r>
    </w:p>
    <w:p w:rsidR="00340B40" w:rsidRPr="009F791A" w:rsidRDefault="003C2F68" w:rsidP="009F79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при проведении профилактических мероприятий установлено, 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lastRenderedPageBreak/>
        <w:t>уже причинен, тогда принимается решение о проведении внеплановой проверки. При этом, для проведения такой проверки необходимо согласование прокуратуры республики.</w:t>
      </w:r>
    </w:p>
    <w:p w:rsidR="00340B40" w:rsidRDefault="003C2F6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На основании </w:t>
      </w:r>
      <w:r w:rsidR="009F791A">
        <w:rPr>
          <w:sz w:val="28"/>
          <w:szCs w:val="28"/>
        </w:rPr>
        <w:t>п</w:t>
      </w:r>
      <w:r>
        <w:rPr>
          <w:sz w:val="28"/>
          <w:szCs w:val="28"/>
        </w:rPr>
        <w:t>остановления Правительства Р</w:t>
      </w:r>
      <w:r w:rsidR="009F791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9F791A">
        <w:rPr>
          <w:sz w:val="28"/>
          <w:szCs w:val="28"/>
        </w:rPr>
        <w:t>едерации</w:t>
      </w:r>
      <w:r w:rsidR="009F791A">
        <w:rPr>
          <w:sz w:val="28"/>
          <w:szCs w:val="28"/>
        </w:rPr>
        <w:br/>
      </w:r>
      <w:r>
        <w:rPr>
          <w:sz w:val="28"/>
          <w:szCs w:val="28"/>
        </w:rPr>
        <w:t xml:space="preserve">от 10 марта 2023 г. №372 мораторий на плановые проверки будет действовать </w:t>
      </w:r>
      <w:r w:rsidR="009F791A">
        <w:rPr>
          <w:sz w:val="28"/>
          <w:szCs w:val="28"/>
        </w:rPr>
        <w:br/>
        <w:t>до 2030 года.</w:t>
      </w:r>
    </w:p>
    <w:p w:rsidR="00340B40" w:rsidRDefault="00340B40">
      <w:pPr>
        <w:spacing w:line="360" w:lineRule="auto"/>
        <w:ind w:firstLine="709"/>
        <w:jc w:val="both"/>
        <w:rPr>
          <w:sz w:val="28"/>
          <w:szCs w:val="28"/>
        </w:rPr>
      </w:pPr>
    </w:p>
    <w:sectPr w:rsidR="00340B40" w:rsidSect="009F791A">
      <w:headerReference w:type="default" r:id="rId9"/>
      <w:pgSz w:w="11906" w:h="16838"/>
      <w:pgMar w:top="567" w:right="567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A6" w:rsidRDefault="005C7EA6" w:rsidP="009F791A">
      <w:r>
        <w:separator/>
      </w:r>
    </w:p>
  </w:endnote>
  <w:endnote w:type="continuationSeparator" w:id="0">
    <w:p w:rsidR="005C7EA6" w:rsidRDefault="005C7EA6" w:rsidP="009F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A6" w:rsidRDefault="005C7EA6" w:rsidP="009F791A">
      <w:r>
        <w:separator/>
      </w:r>
    </w:p>
  </w:footnote>
  <w:footnote w:type="continuationSeparator" w:id="0">
    <w:p w:rsidR="005C7EA6" w:rsidRDefault="005C7EA6" w:rsidP="009F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80763"/>
      <w:docPartObj>
        <w:docPartGallery w:val="Page Numbers (Top of Page)"/>
        <w:docPartUnique/>
      </w:docPartObj>
    </w:sdtPr>
    <w:sdtEndPr/>
    <w:sdtContent>
      <w:p w:rsidR="009F791A" w:rsidRDefault="009F791A">
        <w:pPr>
          <w:pStyle w:val="af1"/>
          <w:jc w:val="center"/>
        </w:pPr>
      </w:p>
      <w:p w:rsidR="009F791A" w:rsidRDefault="009F791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09A">
          <w:rPr>
            <w:noProof/>
          </w:rPr>
          <w:t>7</w:t>
        </w:r>
        <w:r>
          <w:fldChar w:fldCharType="end"/>
        </w:r>
      </w:p>
    </w:sdtContent>
  </w:sdt>
  <w:p w:rsidR="009F791A" w:rsidRDefault="009F791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6D4B"/>
    <w:multiLevelType w:val="multilevel"/>
    <w:tmpl w:val="3740FA68"/>
    <w:lvl w:ilvl="0">
      <w:start w:val="1"/>
      <w:numFmt w:val="upperRoman"/>
      <w:lvlText w:val="(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340B40"/>
    <w:rsid w:val="00340B40"/>
    <w:rsid w:val="003C2F68"/>
    <w:rsid w:val="004F228B"/>
    <w:rsid w:val="005A609A"/>
    <w:rsid w:val="005C7EA6"/>
    <w:rsid w:val="009F791A"/>
    <w:rsid w:val="00A957BE"/>
    <w:rsid w:val="00A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71"/>
    <w:rPr>
      <w:sz w:val="24"/>
      <w:szCs w:val="24"/>
    </w:rPr>
  </w:style>
  <w:style w:type="paragraph" w:styleId="3">
    <w:name w:val="heading 3"/>
    <w:basedOn w:val="a"/>
    <w:next w:val="a0"/>
    <w:link w:val="30"/>
    <w:qFormat/>
    <w:rsid w:val="00BB0E98"/>
    <w:pPr>
      <w:keepNext/>
      <w:numPr>
        <w:ilvl w:val="2"/>
        <w:numId w:val="1"/>
      </w:numPr>
      <w:spacing w:before="140" w:after="120"/>
      <w:outlineLvl w:val="2"/>
    </w:pPr>
    <w:rPr>
      <w:rFonts w:ascii="Open Sans" w:eastAsia="WenQuanYi Micro Hei" w:hAnsi="Open Sans" w:cs="Lohit Devanagari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44FE0"/>
    <w:rPr>
      <w:color w:val="0000FF"/>
      <w:u w:val="single"/>
    </w:rPr>
  </w:style>
  <w:style w:type="character" w:customStyle="1" w:styleId="a5">
    <w:name w:val="Подзаголовок Знак"/>
    <w:link w:val="a6"/>
    <w:qFormat/>
    <w:rsid w:val="00AD0677"/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Обычный с отступом Знак"/>
    <w:link w:val="a8"/>
    <w:qFormat/>
    <w:rsid w:val="00D753DD"/>
    <w:rPr>
      <w:sz w:val="28"/>
    </w:rPr>
  </w:style>
  <w:style w:type="character" w:customStyle="1" w:styleId="30">
    <w:name w:val="Заголовок 3 Знак"/>
    <w:basedOn w:val="a1"/>
    <w:link w:val="3"/>
    <w:qFormat/>
    <w:rsid w:val="00BB0E98"/>
    <w:rPr>
      <w:rFonts w:ascii="Open Sans" w:eastAsia="WenQuanYi Micro Hei" w:hAnsi="Open Sans" w:cs="Lohit Devanagari"/>
      <w:b/>
      <w:bCs/>
      <w:sz w:val="28"/>
      <w:szCs w:val="28"/>
      <w:lang w:eastAsia="zh-CN"/>
    </w:rPr>
  </w:style>
  <w:style w:type="character" w:customStyle="1" w:styleId="match">
    <w:name w:val="match"/>
    <w:basedOn w:val="a1"/>
    <w:qFormat/>
    <w:rsid w:val="00265B0C"/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0">
    <w:name w:val="Body Text"/>
    <w:basedOn w:val="a"/>
    <w:rsid w:val="003F46A7"/>
    <w:pPr>
      <w:spacing w:after="12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31">
    <w:name w:val="Body Text Indent 3"/>
    <w:basedOn w:val="a"/>
    <w:qFormat/>
    <w:rsid w:val="003F46A7"/>
    <w:pPr>
      <w:ind w:left="540"/>
    </w:pPr>
    <w:rPr>
      <w:u w:color="FFFFFF"/>
    </w:rPr>
  </w:style>
  <w:style w:type="paragraph" w:customStyle="1" w:styleId="Preformat">
    <w:name w:val="Preformat"/>
    <w:qFormat/>
    <w:rsid w:val="00544FE0"/>
    <w:rPr>
      <w:rFonts w:ascii="Courier New" w:hAnsi="Courier New" w:cs="Courier New"/>
    </w:rPr>
  </w:style>
  <w:style w:type="paragraph" w:customStyle="1" w:styleId="ConsPlusNormal">
    <w:name w:val="ConsPlusNormal"/>
    <w:qFormat/>
    <w:rsid w:val="00544FE0"/>
    <w:pPr>
      <w:widowControl w:val="0"/>
      <w:ind w:firstLine="720"/>
    </w:pPr>
    <w:rPr>
      <w:rFonts w:ascii="Arial" w:hAnsi="Arial" w:cs="Arial"/>
      <w:szCs w:val="24"/>
      <w:u w:val="single" w:color="FFFFFF"/>
    </w:rPr>
  </w:style>
  <w:style w:type="paragraph" w:styleId="a6">
    <w:name w:val="Subtitle"/>
    <w:basedOn w:val="a"/>
    <w:next w:val="a"/>
    <w:link w:val="a5"/>
    <w:qFormat/>
    <w:rsid w:val="00AD0677"/>
    <w:pPr>
      <w:spacing w:before="60" w:after="60"/>
      <w:ind w:firstLine="680"/>
      <w:jc w:val="center"/>
      <w:outlineLvl w:val="1"/>
    </w:pPr>
    <w:rPr>
      <w:rFonts w:ascii="Cambria" w:hAnsi="Cambria"/>
      <w:lang w:val="x-none" w:eastAsia="x-none"/>
    </w:rPr>
  </w:style>
  <w:style w:type="paragraph" w:styleId="ad">
    <w:name w:val="List Paragraph"/>
    <w:basedOn w:val="a"/>
    <w:uiPriority w:val="34"/>
    <w:qFormat/>
    <w:rsid w:val="002A44C4"/>
    <w:pPr>
      <w:ind w:left="720"/>
      <w:contextualSpacing/>
    </w:pPr>
  </w:style>
  <w:style w:type="paragraph" w:customStyle="1" w:styleId="headertext">
    <w:name w:val="headertext"/>
    <w:basedOn w:val="a"/>
    <w:qFormat/>
    <w:rsid w:val="000C2529"/>
    <w:pPr>
      <w:spacing w:beforeAutospacing="1" w:afterAutospacing="1"/>
    </w:pPr>
  </w:style>
  <w:style w:type="paragraph" w:customStyle="1" w:styleId="HEADERTEXT0">
    <w:name w:val=".HEADERTEXT"/>
    <w:uiPriority w:val="99"/>
    <w:qFormat/>
    <w:rsid w:val="00D753DD"/>
    <w:pPr>
      <w:widowControl w:val="0"/>
    </w:pPr>
    <w:rPr>
      <w:rFonts w:ascii="Arial" w:hAnsi="Arial" w:cs="Arial"/>
      <w:color w:val="2B4279"/>
    </w:rPr>
  </w:style>
  <w:style w:type="paragraph" w:customStyle="1" w:styleId="formattext">
    <w:name w:val="formattext"/>
    <w:basedOn w:val="a"/>
    <w:qFormat/>
    <w:rsid w:val="00D753DD"/>
    <w:pPr>
      <w:spacing w:beforeAutospacing="1" w:afterAutospacing="1"/>
    </w:pPr>
  </w:style>
  <w:style w:type="paragraph" w:customStyle="1" w:styleId="a8">
    <w:name w:val="Обычный с отступом"/>
    <w:basedOn w:val="a"/>
    <w:link w:val="a7"/>
    <w:qFormat/>
    <w:rsid w:val="00D753DD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2"/>
    <w:rsid w:val="003F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uiPriority w:val="99"/>
    <w:rsid w:val="0040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F791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F791A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79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F791A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F79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F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E1DA2-5967-46C3-96D5-3864EE93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Инспекторский участок</vt:lpstr>
    </vt:vector>
  </TitlesOfParts>
  <Company>Кстовский отдел Управления по технологическому и экологическому надзору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Инспекторский участок</dc:title>
  <dc:subject>Данные о лицензиях и регистрации в государственном реестре</dc:subject>
  <dc:creator>Горбатоский А.М.</dc:creator>
  <cp:lastModifiedBy>Овчинникова Ольга Александровна</cp:lastModifiedBy>
  <cp:revision>4</cp:revision>
  <dcterms:created xsi:type="dcterms:W3CDTF">2024-07-05T06:32:00Z</dcterms:created>
  <dcterms:modified xsi:type="dcterms:W3CDTF">2024-07-05T07:08:00Z</dcterms:modified>
  <dc:language>ru-RU</dc:language>
</cp:coreProperties>
</file>